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77777777" w:rsidR="00BE4C71" w:rsidRPr="00946ED8" w:rsidRDefault="00BE4C71" w:rsidP="00BE4C71">
      <w:pPr>
        <w:pStyle w:val="Cmsor1"/>
        <w:spacing w:before="0" w:line="240" w:lineRule="auto"/>
        <w:jc w:val="both"/>
        <w:rPr>
          <w:rFonts w:ascii="Times New Roman" w:hAnsi="Times New Roman"/>
        </w:rPr>
      </w:pPr>
      <w:bookmarkStart w:id="0" w:name="_Toc189747493"/>
      <w:r>
        <w:rPr>
          <w:rFonts w:ascii="Times New Roman" w:hAnsi="Times New Roman"/>
        </w:rPr>
        <w:t xml:space="preserve">……. számú melléklet - </w:t>
      </w:r>
      <w:r w:rsidRPr="00946ED8">
        <w:rPr>
          <w:rFonts w:ascii="Times New Roman" w:hAnsi="Times New Roman"/>
        </w:rPr>
        <w:t>Adatkezelési tájékoztató „</w:t>
      </w:r>
      <w:proofErr w:type="gramStart"/>
      <w:r>
        <w:rPr>
          <w:rFonts w:ascii="Times New Roman" w:hAnsi="Times New Roman"/>
          <w:i/>
        </w:rPr>
        <w:t>………………</w:t>
      </w:r>
      <w:proofErr w:type="gramEnd"/>
      <w:r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1C767906" w14:textId="77777777" w:rsidR="00E14D2B" w:rsidRPr="00E14D2B" w:rsidRDefault="00E14D2B" w:rsidP="00E14D2B">
      <w:pPr>
        <w:spacing w:before="0" w:after="0" w:line="259" w:lineRule="auto"/>
        <w:jc w:val="both"/>
        <w:rPr>
          <w:rFonts w:ascii="Times New Roman" w:eastAsiaTheme="minorHAnsi" w:hAnsi="Times New Roman"/>
          <w:lang w:eastAsia="en-US"/>
        </w:rPr>
      </w:pPr>
      <w:r w:rsidRPr="00E14D2B">
        <w:rPr>
          <w:rFonts w:ascii="Times New Roman" w:eastAsiaTheme="minorHAnsi" w:hAnsi="Times New Roman"/>
          <w:lang w:eastAsia="en-US"/>
        </w:rPr>
        <w:t>Az alapvető jogok és kötelességek pártatlan és elfogulatlan érvényesítése, valamint a közélet tisztaságának biztosítása és a korrupció megelőzése céljából az a személy, aki az egyes vagyonnyilatkozat-tételi kötelezettségekről szóló 2007. évi CLII. törvény 3. §</w:t>
      </w:r>
      <w:proofErr w:type="spellStart"/>
      <w:r w:rsidRPr="00E14D2B">
        <w:rPr>
          <w:rFonts w:ascii="Times New Roman" w:eastAsiaTheme="minorHAnsi" w:hAnsi="Times New Roman"/>
          <w:lang w:eastAsia="en-US"/>
        </w:rPr>
        <w:t>-ban</w:t>
      </w:r>
      <w:proofErr w:type="spellEnd"/>
      <w:r w:rsidRPr="00E14D2B">
        <w:rPr>
          <w:rFonts w:ascii="Times New Roman" w:eastAsiaTheme="minorHAnsi" w:hAnsi="Times New Roman"/>
          <w:lang w:eastAsia="en-US"/>
        </w:rPr>
        <w:t xml:space="preserve"> felsorolt feladatot lát el, tisztséget, illetve munkakört tölt be (a továbbiakban együtt: kötelezett), a törvényben meghatározott esetekben a törvény mellékletében rögzített adattartalommal nyilatkozatot tesz a saját és a vele egy háztartásban élő hozzátartozók jövedelmi, érdekeltségi és vagyoni helyzetéről.</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2C2153" w:rsidRPr="002C2153" w14:paraId="77512032" w14:textId="77777777" w:rsidTr="00716376">
        <w:tc>
          <w:tcPr>
            <w:tcW w:w="2405" w:type="dxa"/>
          </w:tcPr>
          <w:p w14:paraId="5CA0A840"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Érintettek köre</w:t>
            </w:r>
          </w:p>
        </w:tc>
        <w:tc>
          <w:tcPr>
            <w:tcW w:w="6657" w:type="dxa"/>
            <w:gridSpan w:val="4"/>
          </w:tcPr>
          <w:p w14:paraId="1A63877A"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vagyon-nyilatkozattételre kötelezettek köre</w:t>
            </w:r>
          </w:p>
        </w:tc>
      </w:tr>
      <w:tr w:rsidR="002C2153" w:rsidRPr="002C2153" w14:paraId="34EC8661" w14:textId="77777777" w:rsidTr="00716376">
        <w:tc>
          <w:tcPr>
            <w:tcW w:w="2405" w:type="dxa"/>
          </w:tcPr>
          <w:p w14:paraId="7E4D05F0"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 xml:space="preserve">A </w:t>
            </w:r>
            <w:r w:rsidRPr="002C2153">
              <w:rPr>
                <w:rFonts w:ascii="Times New Roman" w:hAnsi="Times New Roman"/>
                <w:b/>
                <w:u w:val="single"/>
              </w:rPr>
              <w:t>személyes adatok</w:t>
            </w:r>
            <w:r w:rsidRPr="002C2153">
              <w:rPr>
                <w:rFonts w:ascii="Times New Roman" w:hAnsi="Times New Roman"/>
                <w:b/>
              </w:rPr>
              <w:t xml:space="preserve"> köre</w:t>
            </w:r>
          </w:p>
        </w:tc>
        <w:tc>
          <w:tcPr>
            <w:tcW w:w="1313" w:type="dxa"/>
          </w:tcPr>
          <w:p w14:paraId="6BE9B80E"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 xml:space="preserve">Az adatkezelés </w:t>
            </w:r>
            <w:r w:rsidRPr="002C2153">
              <w:rPr>
                <w:rFonts w:ascii="Times New Roman" w:hAnsi="Times New Roman"/>
                <w:b/>
                <w:u w:val="single"/>
              </w:rPr>
              <w:t>jogalap</w:t>
            </w:r>
            <w:r w:rsidRPr="002C2153">
              <w:rPr>
                <w:rFonts w:ascii="Times New Roman" w:hAnsi="Times New Roman"/>
                <w:b/>
              </w:rPr>
              <w:t>ja</w:t>
            </w:r>
          </w:p>
        </w:tc>
        <w:tc>
          <w:tcPr>
            <w:tcW w:w="1460" w:type="dxa"/>
          </w:tcPr>
          <w:p w14:paraId="0046D246"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b/>
              </w:rPr>
              <w:t xml:space="preserve">Az adatkezelés </w:t>
            </w:r>
            <w:r w:rsidRPr="002C2153">
              <w:rPr>
                <w:rFonts w:ascii="Times New Roman" w:hAnsi="Times New Roman"/>
                <w:b/>
                <w:u w:val="single"/>
              </w:rPr>
              <w:t>cél</w:t>
            </w:r>
            <w:r w:rsidRPr="002C2153">
              <w:rPr>
                <w:rFonts w:ascii="Times New Roman" w:hAnsi="Times New Roman"/>
                <w:b/>
              </w:rPr>
              <w:t>ja</w:t>
            </w:r>
          </w:p>
        </w:tc>
        <w:tc>
          <w:tcPr>
            <w:tcW w:w="1621" w:type="dxa"/>
          </w:tcPr>
          <w:p w14:paraId="37FD6B2C"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b/>
              </w:rPr>
              <w:t xml:space="preserve">A személyes adatokat </w:t>
            </w:r>
            <w:r w:rsidRPr="002C2153">
              <w:rPr>
                <w:rFonts w:ascii="Times New Roman" w:hAnsi="Times New Roman"/>
                <w:b/>
                <w:u w:val="single"/>
              </w:rPr>
              <w:t>megismerheti</w:t>
            </w:r>
            <w:r w:rsidRPr="002C2153">
              <w:rPr>
                <w:rFonts w:ascii="Times New Roman" w:hAnsi="Times New Roman"/>
                <w:b/>
              </w:rPr>
              <w:t xml:space="preserve"> az érintetten kívül</w:t>
            </w:r>
          </w:p>
        </w:tc>
        <w:tc>
          <w:tcPr>
            <w:tcW w:w="2263" w:type="dxa"/>
          </w:tcPr>
          <w:p w14:paraId="1005431E"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 xml:space="preserve">A személyes adatok </w:t>
            </w:r>
            <w:r w:rsidRPr="002C2153">
              <w:rPr>
                <w:rFonts w:ascii="Times New Roman" w:hAnsi="Times New Roman"/>
                <w:b/>
                <w:u w:val="single"/>
              </w:rPr>
              <w:t>forrása</w:t>
            </w:r>
            <w:r w:rsidRPr="002C2153">
              <w:rPr>
                <w:rFonts w:ascii="Times New Roman" w:hAnsi="Times New Roman"/>
                <w:b/>
              </w:rPr>
              <w:t xml:space="preserve"> és adott esetben az, hogy az adatok nyilvánosan hozzáférhető forrásokból származnak-e</w:t>
            </w:r>
          </w:p>
        </w:tc>
      </w:tr>
      <w:tr w:rsidR="002C2153" w:rsidRPr="002C2153" w14:paraId="03980979" w14:textId="77777777" w:rsidTr="00716376">
        <w:tc>
          <w:tcPr>
            <w:tcW w:w="2405" w:type="dxa"/>
          </w:tcPr>
          <w:p w14:paraId="70EBFEB8"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xml:space="preserve">Az Adatkezelési tájékoztatás tudomásulvételét tartalmazó nyilatkozat adattartalma: </w:t>
            </w:r>
          </w:p>
          <w:p w14:paraId="2897BDA0"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név, aláírás, időpont, a tevékenység, melyhez kapcsolódóan az adatkezelési tájékoztatót az érintett megismerte</w:t>
            </w:r>
          </w:p>
          <w:p w14:paraId="60526270"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Az Adatkezelési tájékoztatás tudomásulvételét tartalmazó nyilatkozat aláírása megtagadásának ténye</w:t>
            </w:r>
          </w:p>
        </w:tc>
        <w:tc>
          <w:tcPr>
            <w:tcW w:w="1313" w:type="dxa"/>
          </w:tcPr>
          <w:p w14:paraId="53974F2F"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GDPR 6. cikk (1) f.) az adatkezelő jogos érdeke: az adatkezeléssel kapcsolatos tájékoztatás megadásának igazolhatósága</w:t>
            </w:r>
          </w:p>
        </w:tc>
        <w:tc>
          <w:tcPr>
            <w:tcW w:w="1460" w:type="dxa"/>
          </w:tcPr>
          <w:p w14:paraId="6EC59883"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Az adatkezelési tájékoztatás megtörténtének igazolása</w:t>
            </w:r>
          </w:p>
        </w:tc>
        <w:tc>
          <w:tcPr>
            <w:tcW w:w="1621" w:type="dxa"/>
          </w:tcPr>
          <w:p w14:paraId="2D78BCA6"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BE9E4E1"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Az érintett.</w:t>
            </w:r>
          </w:p>
          <w:p w14:paraId="26FE4489"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2C2153" w:rsidRPr="002C2153" w14:paraId="00A8460D" w14:textId="77777777" w:rsidTr="00716376">
        <w:tc>
          <w:tcPr>
            <w:tcW w:w="2405" w:type="dxa"/>
          </w:tcPr>
          <w:p w14:paraId="7AB0284B"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A kötelezettel egy háztartásban élő házastárs, élettárs, közös háztartásban élő szülő, gyermek neve, születési helye és ideje, anyja neve</w:t>
            </w:r>
          </w:p>
          <w:p w14:paraId="5306AE12"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A nyilatkozatot adó éves összes jövedelme</w:t>
            </w:r>
          </w:p>
          <w:p w14:paraId="4250C6E0"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lastRenderedPageBreak/>
              <w:t>- Az éves jövedelem forrásai tevékenységek szerinti bontásban</w:t>
            </w:r>
          </w:p>
          <w:p w14:paraId="2FEA4D27"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Lakástulajdon és lakótelek-tulajdon, Üdülőtulajdon és üdülőtelek-tulajdon, Egyéb, nem lakás céljára szolgáló épület-(épületrész-</w:t>
            </w:r>
            <w:proofErr w:type="gramStart"/>
            <w:r w:rsidRPr="002C2153">
              <w:rPr>
                <w:rFonts w:ascii="Times New Roman" w:hAnsi="Times New Roman"/>
              </w:rPr>
              <w:t>)tulajdon</w:t>
            </w:r>
            <w:proofErr w:type="gramEnd"/>
            <w:r w:rsidRPr="002C2153">
              <w:rPr>
                <w:rFonts w:ascii="Times New Roman" w:hAnsi="Times New Roman"/>
              </w:rPr>
              <w:t xml:space="preserve"> (vagy állandó, illetve tartós használat, haszonélvezeti jog, vagyonkezelői jog, vagyonrendelői jog, </w:t>
            </w:r>
            <w:proofErr w:type="spellStart"/>
            <w:r w:rsidRPr="002C2153">
              <w:rPr>
                <w:rFonts w:ascii="Times New Roman" w:hAnsi="Times New Roman"/>
              </w:rPr>
              <w:t>kedvezményezetti</w:t>
            </w:r>
            <w:proofErr w:type="spellEnd"/>
            <w:r w:rsidRPr="002C2153">
              <w:rPr>
                <w:rFonts w:ascii="Times New Roman" w:hAnsi="Times New Roman"/>
              </w:rPr>
              <w:t xml:space="preserve"> jog) esetében az ingatlan megnevezése, címe, tulajdoni hányad, alapterület, szerzés ideje, jogcíme</w:t>
            </w:r>
          </w:p>
          <w:p w14:paraId="4A9E9979"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xml:space="preserve">- Termőföldtulajdon (vagy állandó használat, haszonélvezeti jog, vagyonkezelői jog, vagyonrendelői jog, </w:t>
            </w:r>
            <w:proofErr w:type="spellStart"/>
            <w:r w:rsidRPr="002C2153">
              <w:rPr>
                <w:rFonts w:ascii="Times New Roman" w:hAnsi="Times New Roman"/>
              </w:rPr>
              <w:t>kedvezményezetti</w:t>
            </w:r>
            <w:proofErr w:type="spellEnd"/>
            <w:r w:rsidRPr="002C2153">
              <w:rPr>
                <w:rFonts w:ascii="Times New Roman" w:hAnsi="Times New Roman"/>
              </w:rPr>
              <w:t xml:space="preserve"> jog) az ingatlan megnevezése, címe, </w:t>
            </w:r>
            <w:proofErr w:type="spellStart"/>
            <w:r w:rsidRPr="002C2153">
              <w:rPr>
                <w:rFonts w:ascii="Times New Roman" w:hAnsi="Times New Roman"/>
              </w:rPr>
              <w:t>hrsz</w:t>
            </w:r>
            <w:proofErr w:type="spellEnd"/>
            <w:r w:rsidRPr="002C2153">
              <w:rPr>
                <w:rFonts w:ascii="Times New Roman" w:hAnsi="Times New Roman"/>
              </w:rPr>
              <w:t>, tulajdoni hányad, alapterület, szerzés ideje, jogcíme, művelési ág, aranykorona érték</w:t>
            </w:r>
          </w:p>
          <w:p w14:paraId="41729BA9"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személygépkocsi típusa, rendszám, a szerzés ideje, jogcíme</w:t>
            </w:r>
          </w:p>
          <w:p w14:paraId="64CA8107"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Védett műalkotás, védett gyűjtemény:</w:t>
            </w:r>
          </w:p>
          <w:p w14:paraId="47C4D331"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egyedi alkotások</w:t>
            </w:r>
          </w:p>
          <w:p w14:paraId="64E6DCFC"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alkotó, cím, nyilvántartási szám, a szerzés ideje, jogcíme</w:t>
            </w:r>
          </w:p>
          <w:p w14:paraId="07B895C1"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Egyéb, darabonként vagy készletenként (gyűjteményenként) a hónap első napján érvényes kötelező legkisebb munkabér havi összege tízszeresét meghaladó értékű ingóság megnevezése, azonosító adat, a szerzés ideje, jogcíme</w:t>
            </w:r>
          </w:p>
          <w:p w14:paraId="4F55B74C"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Értékpapírban elhelyezett megtakarítás (részvény, kötvény, részjegy, kincstárjegy, vagyonjegy stb.) megnevezés, szám, névérték</w:t>
            </w:r>
          </w:p>
          <w:p w14:paraId="2665C291"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xml:space="preserve">- Takarékbetétben elhelyezett megtakarítás </w:t>
            </w:r>
            <w:r w:rsidRPr="002C2153">
              <w:rPr>
                <w:rFonts w:ascii="Times New Roman" w:hAnsi="Times New Roman"/>
              </w:rPr>
              <w:lastRenderedPageBreak/>
              <w:t>(pénzintézet, betétkönyvszám, összeg)</w:t>
            </w:r>
          </w:p>
          <w:p w14:paraId="28E5F3FE"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készpénz összege</w:t>
            </w:r>
          </w:p>
          <w:p w14:paraId="18CE1D69"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Az összességében a hónap első napján érvényes kötelező legkisebb munkabér havi összege tízszeresét meghaladó pénzintézeti számlakövetelés vagy más, szerződés alapján fennálló pénzkövetelés (pénzintézet, számlaszám, összeg)</w:t>
            </w:r>
          </w:p>
          <w:p w14:paraId="364AF938"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hónap első napján érvényes kötelező legkisebb munkabér havi összege kétszeresét meghaladó értékű vagyontárgyak, ha azok együttes értéke a hónap első napján érvényes kötelező legkisebb munkabér havi összege tízszeresét meghaladja</w:t>
            </w:r>
          </w:p>
          <w:p w14:paraId="7547BC65"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pénzintézettel, magánszeméllyel szemben fennálló követelések adatai</w:t>
            </w:r>
          </w:p>
          <w:p w14:paraId="5C1373D6"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Gazdasági társaságban (ideértve az állami tulajdoni részesedéssel működő gazdálkodó szervezetet is) fennálló tisztsége vagy érdekeltsége (ideértve a vagyonrendelőként bizalmi vagyonkezelésbe adott érdekeltséget, illetve a részesedés vagyonkezelőjeként, kedvezményezettjeként megszerzett - előző pontokba nem tartozó - hasznát)</w:t>
            </w:r>
          </w:p>
        </w:tc>
        <w:tc>
          <w:tcPr>
            <w:tcW w:w="1313" w:type="dxa"/>
          </w:tcPr>
          <w:p w14:paraId="714FD066"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lastRenderedPageBreak/>
              <w:t xml:space="preserve">GDPR 6. cikk (1) bekezdés c) az adatkezelés az adatkezelőre vonatkozó jogi kötelezettség </w:t>
            </w:r>
            <w:r w:rsidRPr="002C2153">
              <w:rPr>
                <w:rFonts w:ascii="Times New Roman" w:hAnsi="Times New Roman"/>
              </w:rPr>
              <w:lastRenderedPageBreak/>
              <w:t>teljesítéséhez szükséges:</w:t>
            </w:r>
          </w:p>
          <w:p w14:paraId="1DFADC55"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xml:space="preserve">egyes vagyonnyilatkozat-tételi kötelezettségekről szóló </w:t>
            </w:r>
          </w:p>
          <w:p w14:paraId="3BE36559"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2007. évi CLII. törvény 1. § (1)</w:t>
            </w:r>
          </w:p>
          <w:p w14:paraId="1DB3D137" w14:textId="77777777" w:rsidR="002C2153" w:rsidRPr="002C2153" w:rsidRDefault="002C2153" w:rsidP="002C2153">
            <w:pPr>
              <w:spacing w:before="0" w:after="0" w:line="240" w:lineRule="auto"/>
              <w:jc w:val="both"/>
              <w:rPr>
                <w:rFonts w:ascii="Times New Roman" w:hAnsi="Times New Roman"/>
              </w:rPr>
            </w:pPr>
          </w:p>
          <w:p w14:paraId="166DE235" w14:textId="77777777" w:rsidR="002C2153" w:rsidRPr="002C2153" w:rsidRDefault="002C2153" w:rsidP="002C2153">
            <w:pPr>
              <w:spacing w:before="0" w:after="0" w:line="240" w:lineRule="auto"/>
              <w:jc w:val="both"/>
              <w:rPr>
                <w:rFonts w:ascii="Times New Roman" w:hAnsi="Times New Roman"/>
              </w:rPr>
            </w:pPr>
          </w:p>
        </w:tc>
        <w:tc>
          <w:tcPr>
            <w:tcW w:w="1460" w:type="dxa"/>
          </w:tcPr>
          <w:p w14:paraId="108BB9B6"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lastRenderedPageBreak/>
              <w:t>Vagyon-nyilatkozattételi kötelezettség teljesítése</w:t>
            </w:r>
          </w:p>
          <w:p w14:paraId="5B604645"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xml:space="preserve">Az alapvető jogok és kötelességek pártatlan és elfogulatlan érvényesítése, </w:t>
            </w:r>
            <w:r w:rsidRPr="002C2153">
              <w:rPr>
                <w:rFonts w:ascii="Times New Roman" w:hAnsi="Times New Roman"/>
              </w:rPr>
              <w:lastRenderedPageBreak/>
              <w:t>valamint a közélet tisztaságának biztosítása és a korrupció megelőzése</w:t>
            </w:r>
          </w:p>
        </w:tc>
        <w:tc>
          <w:tcPr>
            <w:tcW w:w="1621" w:type="dxa"/>
          </w:tcPr>
          <w:p w14:paraId="1774A607" w14:textId="77777777" w:rsidR="002C2153" w:rsidRPr="002C2153" w:rsidRDefault="002C2153" w:rsidP="002C2153">
            <w:pPr>
              <w:spacing w:before="0" w:after="0" w:line="259" w:lineRule="auto"/>
              <w:rPr>
                <w:rFonts w:ascii="Times New Roman" w:eastAsiaTheme="minorHAnsi" w:hAnsi="Times New Roman" w:cstheme="minorBidi"/>
                <w:lang w:eastAsia="en-US"/>
              </w:rPr>
            </w:pPr>
            <w:r w:rsidRPr="002C2153">
              <w:rPr>
                <w:rFonts w:ascii="Times New Roman" w:eastAsiaTheme="minorHAnsi" w:hAnsi="Times New Roman" w:cstheme="minorBidi"/>
                <w:lang w:eastAsia="en-US"/>
              </w:rPr>
              <w:lastRenderedPageBreak/>
              <w:t xml:space="preserve">egyes vagyonnyilatkozat-tételi kötelezettségekről szóló </w:t>
            </w:r>
          </w:p>
          <w:p w14:paraId="71120FAA" w14:textId="77777777" w:rsidR="002C2153" w:rsidRPr="002C2153" w:rsidRDefault="002C2153" w:rsidP="002C2153">
            <w:pPr>
              <w:suppressAutoHyphens/>
              <w:spacing w:before="0" w:after="0" w:line="259" w:lineRule="auto"/>
              <w:rPr>
                <w:rFonts w:ascii="Times New Roman" w:eastAsiaTheme="minorHAnsi" w:hAnsi="Times New Roman" w:cstheme="minorBidi"/>
                <w:lang w:eastAsia="en-US"/>
              </w:rPr>
            </w:pPr>
            <w:r w:rsidRPr="002C2153">
              <w:rPr>
                <w:rFonts w:ascii="Times New Roman" w:eastAsiaTheme="minorHAnsi" w:hAnsi="Times New Roman" w:cstheme="minorBidi"/>
                <w:lang w:eastAsia="en-US"/>
              </w:rPr>
              <w:t>2007. évi CLII. törvény 13. § alapján őrzésért felelős személy,</w:t>
            </w:r>
            <w:r w:rsidRPr="002C2153">
              <w:rPr>
                <w:rFonts w:asciiTheme="minorHAnsi" w:eastAsiaTheme="minorHAnsi" w:hAnsiTheme="minorHAnsi" w:cstheme="minorBidi"/>
                <w:lang w:eastAsia="en-US"/>
              </w:rPr>
              <w:t xml:space="preserve"> </w:t>
            </w:r>
            <w:r w:rsidRPr="002C2153">
              <w:rPr>
                <w:rFonts w:ascii="Times New Roman" w:eastAsiaTheme="minorHAnsi" w:hAnsi="Times New Roman" w:cstheme="minorBidi"/>
                <w:lang w:eastAsia="en-US"/>
              </w:rPr>
              <w:lastRenderedPageBreak/>
              <w:t>ha a 14. § rendelkezései szerint döntenie kell a vagyongyarapodási vizsgálat kezdeményezéséről</w:t>
            </w:r>
          </w:p>
          <w:p w14:paraId="5CEFE4A4" w14:textId="77777777" w:rsidR="002C2153" w:rsidRPr="002C2153" w:rsidRDefault="002C2153" w:rsidP="002C2153">
            <w:pPr>
              <w:suppressAutoHyphens/>
              <w:spacing w:before="0" w:after="0" w:line="259" w:lineRule="auto"/>
              <w:rPr>
                <w:rFonts w:ascii="Times New Roman" w:eastAsiaTheme="minorHAnsi" w:hAnsi="Times New Roman" w:cstheme="minorBidi"/>
                <w:lang w:eastAsia="en-US"/>
              </w:rPr>
            </w:pPr>
          </w:p>
          <w:p w14:paraId="7A235964" w14:textId="77777777" w:rsidR="002C2153" w:rsidRPr="002C2153" w:rsidRDefault="002C2153" w:rsidP="002C2153">
            <w:pPr>
              <w:spacing w:before="0" w:after="0" w:line="240" w:lineRule="auto"/>
              <w:jc w:val="both"/>
            </w:pPr>
            <w:r w:rsidRPr="002C2153">
              <w:rPr>
                <w:rFonts w:ascii="Times New Roman" w:eastAsiaTheme="minorHAnsi" w:hAnsi="Times New Roman" w:cstheme="minorBidi"/>
                <w:lang w:eastAsia="en-US"/>
              </w:rPr>
              <w:t>14. § (2) bekezdés szerinti meghallgatás során érdekképviseleti szerv képviselőjének vagy a kötelezett által megbízott más személy, jegyzőkönyvvezető, őrzésért felelős személy, személyügyi csoportvezető</w:t>
            </w:r>
          </w:p>
        </w:tc>
        <w:tc>
          <w:tcPr>
            <w:tcW w:w="2263" w:type="dxa"/>
          </w:tcPr>
          <w:p w14:paraId="39294E29" w14:textId="77777777" w:rsidR="002C2153" w:rsidRPr="002C2153" w:rsidRDefault="002C2153" w:rsidP="002C2153">
            <w:pPr>
              <w:spacing w:before="0" w:after="0" w:line="240" w:lineRule="auto"/>
              <w:jc w:val="both"/>
            </w:pPr>
            <w:r w:rsidRPr="002C2153">
              <w:rPr>
                <w:rFonts w:ascii="Times New Roman" w:eastAsiaTheme="minorHAnsi" w:hAnsi="Times New Roman" w:cstheme="minorBidi"/>
                <w:lang w:eastAsia="en-US"/>
              </w:rPr>
              <w:lastRenderedPageBreak/>
              <w:t>Adatok felvételére a jogviszony létesítésekor, a fennállása alatt és a megszüntetésekor is sor kerülhet. Az adatok forrása az érintett nyilatkozata</w:t>
            </w:r>
          </w:p>
        </w:tc>
      </w:tr>
      <w:tr w:rsidR="002C2153" w:rsidRPr="002C2153" w14:paraId="67EC0812" w14:textId="77777777" w:rsidTr="00716376">
        <w:tc>
          <w:tcPr>
            <w:tcW w:w="2405" w:type="dxa"/>
          </w:tcPr>
          <w:p w14:paraId="52941B51"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lastRenderedPageBreak/>
              <w:t>Az adatkezelés időtartama</w:t>
            </w:r>
          </w:p>
        </w:tc>
        <w:tc>
          <w:tcPr>
            <w:tcW w:w="6657" w:type="dxa"/>
            <w:gridSpan w:val="4"/>
          </w:tcPr>
          <w:p w14:paraId="16E8CDEB"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xml:space="preserve">Egyes vagyonnyilatkozat-tételi kötelezettségekről szóló </w:t>
            </w:r>
          </w:p>
          <w:p w14:paraId="7C3066FE"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2007. évi CLII. törvény 12. § (3) bekezdés alapján: A vagyonnyilatkozat-tételi kötelezettséget megalapozó jogviszony, beosztás, munka- vagy feladatkör megszűnése esetén az őrzésért felelős a vagyonnyilatkozat – jogviszony, beosztás, munka- vagy feladatkör megszűnése időpontjában – általa őrzött példányát, továbbá a kötelezett által az 5. § (1) bekezdés b) pontja alapján tett vagyonnyilatkozatot a kötelezettséget megalapozó jogviszony, beosztás, munka- vagy feladatkör megszűnésétől számított három évig őrzi.</w:t>
            </w:r>
          </w:p>
        </w:tc>
      </w:tr>
      <w:tr w:rsidR="002C2153" w:rsidRPr="002C2153" w14:paraId="5205775B" w14:textId="77777777" w:rsidTr="00716376">
        <w:tc>
          <w:tcPr>
            <w:tcW w:w="2405" w:type="dxa"/>
          </w:tcPr>
          <w:p w14:paraId="64FE86A9"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Az adatkezelés technikai jellege</w:t>
            </w:r>
          </w:p>
        </w:tc>
        <w:tc>
          <w:tcPr>
            <w:tcW w:w="6657" w:type="dxa"/>
            <w:gridSpan w:val="4"/>
          </w:tcPr>
          <w:p w14:paraId="1380DF5C"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papír alapon</w:t>
            </w:r>
          </w:p>
        </w:tc>
      </w:tr>
      <w:tr w:rsidR="002C2153" w:rsidRPr="002C2153" w14:paraId="59675B68" w14:textId="77777777" w:rsidTr="00716376">
        <w:tc>
          <w:tcPr>
            <w:tcW w:w="2405" w:type="dxa"/>
          </w:tcPr>
          <w:p w14:paraId="36C0BAF8"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Az adatok őrzése, tárolása</w:t>
            </w:r>
          </w:p>
        </w:tc>
        <w:tc>
          <w:tcPr>
            <w:tcW w:w="6657" w:type="dxa"/>
            <w:gridSpan w:val="4"/>
          </w:tcPr>
          <w:p w14:paraId="1AD19EED"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Az egyéb iratoktól elkülönítetten kell kezelni.</w:t>
            </w:r>
          </w:p>
          <w:p w14:paraId="76CAB3F9"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 vagyonnyilatkozatok tárolására erre kijelölt, külön biztonsági zárral ellátott lemezszekrény szolgál</w:t>
            </w:r>
          </w:p>
        </w:tc>
      </w:tr>
      <w:tr w:rsidR="002C2153" w:rsidRPr="002C2153" w14:paraId="224E3F53" w14:textId="77777777" w:rsidTr="00716376">
        <w:tc>
          <w:tcPr>
            <w:tcW w:w="2405" w:type="dxa"/>
          </w:tcPr>
          <w:p w14:paraId="6D2A79AC"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Az adatokhoz fizikailag hozzáférhet</w:t>
            </w:r>
          </w:p>
          <w:p w14:paraId="118AB3F9"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lastRenderedPageBreak/>
              <w:t>(adatokat felvehet, helyesbíthet, változtathat, törölhet, megsemmisíthet)</w:t>
            </w:r>
          </w:p>
        </w:tc>
        <w:tc>
          <w:tcPr>
            <w:tcW w:w="6657" w:type="dxa"/>
            <w:gridSpan w:val="4"/>
          </w:tcPr>
          <w:p w14:paraId="11270DEF"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lastRenderedPageBreak/>
              <w:t>Intézményvezető</w:t>
            </w:r>
          </w:p>
        </w:tc>
      </w:tr>
      <w:tr w:rsidR="002C2153" w:rsidRPr="002C2153" w14:paraId="1D1C0B95" w14:textId="77777777" w:rsidTr="00716376">
        <w:tc>
          <w:tcPr>
            <w:tcW w:w="2405" w:type="dxa"/>
          </w:tcPr>
          <w:p w14:paraId="2EE02127"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Adatok továbbítása</w:t>
            </w:r>
          </w:p>
        </w:tc>
        <w:tc>
          <w:tcPr>
            <w:tcW w:w="6657" w:type="dxa"/>
            <w:gridSpan w:val="4"/>
          </w:tcPr>
          <w:p w14:paraId="6764B260"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2C2153" w:rsidRPr="002C2153" w14:paraId="4776D8EF" w14:textId="77777777" w:rsidTr="00716376">
        <w:tc>
          <w:tcPr>
            <w:tcW w:w="2405" w:type="dxa"/>
          </w:tcPr>
          <w:p w14:paraId="57F50C86"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Adatok továbbítása</w:t>
            </w:r>
          </w:p>
        </w:tc>
        <w:tc>
          <w:tcPr>
            <w:tcW w:w="6657" w:type="dxa"/>
            <w:gridSpan w:val="4"/>
          </w:tcPr>
          <w:p w14:paraId="6EEE4FC3" w14:textId="77777777" w:rsidR="002C2153" w:rsidRPr="002C2153" w:rsidRDefault="002C2153" w:rsidP="002C2153">
            <w:pPr>
              <w:spacing w:before="0" w:after="0" w:line="240" w:lineRule="auto"/>
              <w:jc w:val="both"/>
              <w:rPr>
                <w:rFonts w:ascii="Times New Roman" w:hAnsi="Times New Roman"/>
              </w:rPr>
            </w:pPr>
          </w:p>
        </w:tc>
      </w:tr>
      <w:tr w:rsidR="002C2153" w:rsidRPr="002C2153" w14:paraId="6BF58C1B" w14:textId="77777777" w:rsidTr="00716376">
        <w:tc>
          <w:tcPr>
            <w:tcW w:w="2405" w:type="dxa"/>
          </w:tcPr>
          <w:p w14:paraId="356D34A6"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Továbbított adatok köre</w:t>
            </w:r>
          </w:p>
        </w:tc>
        <w:tc>
          <w:tcPr>
            <w:tcW w:w="6657" w:type="dxa"/>
            <w:gridSpan w:val="4"/>
          </w:tcPr>
          <w:p w14:paraId="39898664"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 vagyonnyilatkozat teljes adattartalma</w:t>
            </w:r>
          </w:p>
        </w:tc>
      </w:tr>
      <w:tr w:rsidR="002C2153" w:rsidRPr="002C2153" w14:paraId="6D6BB010" w14:textId="77777777" w:rsidTr="00716376">
        <w:tc>
          <w:tcPr>
            <w:tcW w:w="2405" w:type="dxa"/>
          </w:tcPr>
          <w:p w14:paraId="460CE996"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Az adattovábbítás jogalapja</w:t>
            </w:r>
          </w:p>
        </w:tc>
        <w:tc>
          <w:tcPr>
            <w:tcW w:w="6657" w:type="dxa"/>
            <w:gridSpan w:val="4"/>
          </w:tcPr>
          <w:p w14:paraId="7869EA0B"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 xml:space="preserve">egyes vagyonnyilatkozat-tételi kötelezettségekről szóló </w:t>
            </w:r>
          </w:p>
          <w:p w14:paraId="12449DF0"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2007. évi CLII. törvény 14. § (4)</w:t>
            </w:r>
          </w:p>
        </w:tc>
      </w:tr>
      <w:tr w:rsidR="002C2153" w:rsidRPr="002C2153" w14:paraId="0C7943EF" w14:textId="77777777" w:rsidTr="00716376">
        <w:tc>
          <w:tcPr>
            <w:tcW w:w="2405" w:type="dxa"/>
          </w:tcPr>
          <w:p w14:paraId="574E58A3"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Az adattovábbítás célja</w:t>
            </w:r>
          </w:p>
        </w:tc>
        <w:tc>
          <w:tcPr>
            <w:tcW w:w="6657" w:type="dxa"/>
            <w:gridSpan w:val="4"/>
          </w:tcPr>
          <w:p w14:paraId="73AB44BF"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vizsgálat kezdeményezése</w:t>
            </w:r>
          </w:p>
        </w:tc>
      </w:tr>
      <w:tr w:rsidR="002C2153" w:rsidRPr="002C2153" w14:paraId="028E2EF5" w14:textId="77777777" w:rsidTr="00716376">
        <w:tc>
          <w:tcPr>
            <w:tcW w:w="2405" w:type="dxa"/>
          </w:tcPr>
          <w:p w14:paraId="232FD4B5"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Címzett</w:t>
            </w:r>
          </w:p>
        </w:tc>
        <w:tc>
          <w:tcPr>
            <w:tcW w:w="6657" w:type="dxa"/>
            <w:gridSpan w:val="4"/>
          </w:tcPr>
          <w:p w14:paraId="7CFFF606" w14:textId="77777777" w:rsidR="002C2153" w:rsidRPr="002C2153" w:rsidRDefault="002C2153" w:rsidP="002C2153">
            <w:pPr>
              <w:spacing w:before="0" w:after="0" w:line="240" w:lineRule="auto"/>
              <w:jc w:val="both"/>
              <w:rPr>
                <w:rFonts w:ascii="Times New Roman" w:hAnsi="Times New Roman"/>
                <w:highlight w:val="yellow"/>
              </w:rPr>
            </w:pPr>
            <w:r w:rsidRPr="002C2153">
              <w:rPr>
                <w:rFonts w:ascii="Times New Roman" w:hAnsi="Times New Roman"/>
              </w:rPr>
              <w:t>Állami adóhatóság</w:t>
            </w:r>
          </w:p>
        </w:tc>
      </w:tr>
      <w:tr w:rsidR="002C2153" w:rsidRPr="002C2153" w14:paraId="1C7B2AF7" w14:textId="77777777" w:rsidTr="00716376">
        <w:tc>
          <w:tcPr>
            <w:tcW w:w="9062" w:type="dxa"/>
            <w:gridSpan w:val="5"/>
          </w:tcPr>
          <w:p w14:paraId="23AC1A56"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2C2153" w:rsidRPr="002C2153" w14:paraId="004BBDAD" w14:textId="77777777" w:rsidTr="00716376">
        <w:tc>
          <w:tcPr>
            <w:tcW w:w="9062" w:type="dxa"/>
            <w:gridSpan w:val="5"/>
          </w:tcPr>
          <w:p w14:paraId="3C2C086B"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Az adatkezelés jogszabályi kötelezettségen alapul. Az érintett köteles a személyes adatokat megadni, annak hiányában nem kerül sor a foglalkoztatására.</w:t>
            </w:r>
          </w:p>
        </w:tc>
      </w:tr>
      <w:tr w:rsidR="002C2153" w:rsidRPr="002C2153" w14:paraId="5DED1ACC" w14:textId="77777777" w:rsidTr="00716376">
        <w:tc>
          <w:tcPr>
            <w:tcW w:w="9062" w:type="dxa"/>
            <w:gridSpan w:val="5"/>
          </w:tcPr>
          <w:p w14:paraId="74B8504A" w14:textId="77777777" w:rsidR="002C2153" w:rsidRPr="002C2153" w:rsidRDefault="002C2153" w:rsidP="002C2153">
            <w:pPr>
              <w:spacing w:before="0" w:after="0" w:line="240" w:lineRule="auto"/>
              <w:jc w:val="both"/>
              <w:rPr>
                <w:rFonts w:ascii="Times New Roman" w:hAnsi="Times New Roman"/>
                <w:b/>
              </w:rPr>
            </w:pPr>
            <w:r w:rsidRPr="002C2153">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2C2153" w:rsidRPr="002C2153" w14:paraId="1F5C6C1F" w14:textId="77777777" w:rsidTr="00716376">
        <w:tc>
          <w:tcPr>
            <w:tcW w:w="9062" w:type="dxa"/>
            <w:gridSpan w:val="5"/>
          </w:tcPr>
          <w:p w14:paraId="6C29EC55" w14:textId="77777777" w:rsidR="002C2153" w:rsidRPr="002C2153" w:rsidRDefault="002C2153" w:rsidP="002C2153">
            <w:pPr>
              <w:spacing w:before="0" w:after="0" w:line="240" w:lineRule="auto"/>
              <w:jc w:val="both"/>
              <w:rPr>
                <w:rFonts w:ascii="Times New Roman" w:hAnsi="Times New Roman"/>
              </w:rPr>
            </w:pPr>
            <w:r w:rsidRPr="002C2153">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lastRenderedPageBreak/>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1B3E4F"/>
    <w:rsid w:val="002C2153"/>
    <w:rsid w:val="003E0231"/>
    <w:rsid w:val="003E3421"/>
    <w:rsid w:val="00417B17"/>
    <w:rsid w:val="00630D6F"/>
    <w:rsid w:val="00723C7F"/>
    <w:rsid w:val="00767EB7"/>
    <w:rsid w:val="00802C43"/>
    <w:rsid w:val="0086523F"/>
    <w:rsid w:val="008B2E7F"/>
    <w:rsid w:val="00A4123E"/>
    <w:rsid w:val="00BE4C71"/>
    <w:rsid w:val="00C44913"/>
    <w:rsid w:val="00C6687B"/>
    <w:rsid w:val="00CF01BB"/>
    <w:rsid w:val="00E14D2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13885</Characters>
  <Application>Microsoft Office Word</Application>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2025-07-09T11:41:00Z</dcterms:created>
  <dcterms:modified xsi:type="dcterms:W3CDTF">2025-07-09T11:44:00Z</dcterms:modified>
</cp:coreProperties>
</file>